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0" w:rsidRPr="00044430" w:rsidRDefault="00044430" w:rsidP="000444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430">
        <w:rPr>
          <w:rFonts w:ascii="Times New Roman" w:hAnsi="Times New Roman" w:cs="Times New Roman"/>
          <w:bCs/>
          <w:sz w:val="28"/>
          <w:szCs w:val="28"/>
        </w:rPr>
        <w:t>СОВЕТ АСТЫРОВСКОГО СЕЛЬСКОГО ПОСЕЛЕНИЯ</w:t>
      </w:r>
    </w:p>
    <w:p w:rsidR="00044430" w:rsidRPr="00044430" w:rsidRDefault="00044430" w:rsidP="000444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430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044430" w:rsidRPr="00044430" w:rsidRDefault="00044430" w:rsidP="000444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430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044430" w:rsidRPr="00044430" w:rsidRDefault="00044430" w:rsidP="00044430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РЕШЕНИЕ</w:t>
      </w:r>
    </w:p>
    <w:p w:rsidR="00044430" w:rsidRPr="00044430" w:rsidRDefault="00044430" w:rsidP="00044430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44430">
        <w:rPr>
          <w:rFonts w:ascii="Times New Roman" w:hAnsi="Times New Roman" w:cs="Times New Roman"/>
          <w:bCs/>
          <w:sz w:val="28"/>
          <w:szCs w:val="28"/>
        </w:rPr>
        <w:t>5</w:t>
      </w:r>
      <w:r w:rsidR="003904FD">
        <w:rPr>
          <w:rFonts w:ascii="Times New Roman" w:hAnsi="Times New Roman" w:cs="Times New Roman"/>
          <w:bCs/>
          <w:sz w:val="28"/>
          <w:szCs w:val="28"/>
        </w:rPr>
        <w:t xml:space="preserve">  сессии </w:t>
      </w:r>
      <w:r w:rsidRPr="00044430">
        <w:rPr>
          <w:rFonts w:ascii="Times New Roman" w:hAnsi="Times New Roman" w:cs="Times New Roman"/>
          <w:bCs/>
          <w:sz w:val="28"/>
          <w:szCs w:val="28"/>
        </w:rPr>
        <w:t>4 созыва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44430" w:rsidRPr="00C438AF" w:rsidRDefault="00C438AF" w:rsidP="00044430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09.03.2023</w:t>
      </w:r>
      <w:r w:rsidR="00044430" w:rsidRPr="0004443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0444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30">
        <w:rPr>
          <w:rFonts w:ascii="Times New Roman" w:hAnsi="Times New Roman" w:cs="Times New Roman"/>
          <w:sz w:val="28"/>
          <w:szCs w:val="28"/>
        </w:rPr>
        <w:t xml:space="preserve">№ </w:t>
      </w:r>
      <w:r w:rsidR="003904FD">
        <w:rPr>
          <w:rFonts w:ascii="Times New Roman" w:hAnsi="Times New Roman" w:cs="Times New Roman"/>
          <w:sz w:val="28"/>
          <w:szCs w:val="28"/>
        </w:rPr>
        <w:t>2</w:t>
      </w:r>
    </w:p>
    <w:p w:rsidR="00044430" w:rsidRDefault="00044430" w:rsidP="00044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поселения,</w:t>
      </w:r>
      <w:r w:rsidRPr="00044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Default="00044430" w:rsidP="00044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 в газете </w:t>
      </w:r>
      <w:r>
        <w:rPr>
          <w:rFonts w:ascii="Times New Roman" w:hAnsi="Times New Roman" w:cs="Times New Roman"/>
          <w:sz w:val="28"/>
          <w:szCs w:val="28"/>
        </w:rPr>
        <w:t>«Горьковский муниципальный вестник»</w:t>
      </w:r>
      <w:r w:rsidR="00BE6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044430">
        <w:rPr>
          <w:rFonts w:ascii="Times New Roman" w:hAnsi="Times New Roman" w:cs="Times New Roman"/>
          <w:sz w:val="28"/>
          <w:szCs w:val="28"/>
        </w:rPr>
        <w:t xml:space="preserve"> и размещению в информационно-телекоммуникационной сети «Интернет»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3904FD" w:rsidRPr="003904FD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3904FD" w:rsidRPr="003904FD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3904FD" w:rsidRPr="003904FD">
          <w:rPr>
            <w:rStyle w:val="a3"/>
            <w:rFonts w:ascii="Times New Roman" w:hAnsi="Times New Roman"/>
            <w:sz w:val="28"/>
            <w:szCs w:val="28"/>
            <w:lang w:val="en-US"/>
          </w:rPr>
          <w:t>astyrovskoe</w:t>
        </w:r>
        <w:proofErr w:type="spellEnd"/>
        <w:r w:rsidR="003904FD" w:rsidRPr="003904FD">
          <w:rPr>
            <w:rStyle w:val="a3"/>
            <w:rFonts w:ascii="Times New Roman" w:hAnsi="Times New Roman"/>
            <w:sz w:val="28"/>
            <w:szCs w:val="28"/>
          </w:rPr>
          <w:t>-</w:t>
        </w:r>
        <w:r w:rsidR="003904FD" w:rsidRPr="003904FD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="003904FD" w:rsidRPr="003904FD">
          <w:rPr>
            <w:rStyle w:val="a3"/>
            <w:rFonts w:ascii="Times New Roman" w:hAnsi="Times New Roman"/>
            <w:sz w:val="28"/>
            <w:szCs w:val="28"/>
          </w:rPr>
          <w:t>52.</w:t>
        </w:r>
        <w:proofErr w:type="spellStart"/>
        <w:r w:rsidR="003904FD" w:rsidRPr="003904FD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3904FD" w:rsidRPr="003904F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904FD" w:rsidRPr="003904FD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3904FD" w:rsidRPr="003904F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904FD" w:rsidRPr="003904F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904FD" w:rsidRPr="003904FD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044430">
        <w:rPr>
          <w:rStyle w:val="a3"/>
          <w:rFonts w:ascii="Times New Roman" w:hAnsi="Times New Roman"/>
          <w:sz w:val="28"/>
          <w:szCs w:val="28"/>
        </w:rPr>
        <w:t>).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Астыровского 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А.И.Усачев</w:t>
      </w:r>
      <w:r w:rsidRPr="0004443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Приложение                                                                                                       </w:t>
      </w:r>
    </w:p>
    <w:p w:rsidR="00044430" w:rsidRPr="00044430" w:rsidRDefault="00044430" w:rsidP="0004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решению Совета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</w:t>
      </w:r>
      <w:r w:rsidR="00C438AF">
        <w:rPr>
          <w:rFonts w:ascii="Times New Roman" w:hAnsi="Times New Roman" w:cs="Times New Roman"/>
          <w:sz w:val="28"/>
          <w:szCs w:val="28"/>
        </w:rPr>
        <w:t>09.03.2023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Default="00044430" w:rsidP="00044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ПОЛОЖЕНИЕ</w:t>
      </w:r>
    </w:p>
    <w:p w:rsidR="00044430" w:rsidRPr="00044430" w:rsidRDefault="00044430" w:rsidP="00044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i/>
          <w:sz w:val="28"/>
          <w:szCs w:val="28"/>
        </w:rPr>
        <w:t>,</w:t>
      </w:r>
      <w:r w:rsidRPr="00044430">
        <w:rPr>
          <w:rFonts w:ascii="Times New Roman" w:hAnsi="Times New Roman" w:cs="Times New Roman"/>
          <w:sz w:val="28"/>
          <w:szCs w:val="28"/>
        </w:rPr>
        <w:t xml:space="preserve"> в том числе и в целях выдвижения для получения финансовой поддержки за счет межбюджетных трансфертов из бюджета Омской области. 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6 октября 2003 года № 131-ФЗ «Об общих принципах организации местного самоуправления в Российской Федерации».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, в том числе и в целях выдвижения для получения финансовой поддержки за счет межбюджетных трансфертов из бюджета Омской области (далее – отбора инициативных проектов)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предложение в целях реализации 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044430">
        <w:rPr>
          <w:rFonts w:ascii="Times New Roman" w:hAnsi="Times New Roman" w:cs="Times New Roman"/>
          <w:sz w:val="28"/>
          <w:szCs w:val="28"/>
        </w:rPr>
        <w:t xml:space="preserve">Инициативный проект реализуется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бюджет </w:t>
      </w:r>
      <w:r w:rsidR="00A252C2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A252C2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</w:t>
      </w:r>
      <w:r w:rsidRPr="0004443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а также межбюджетных  трансфертов из бюджета Омской области, в случае получения финансовой поддержки</w:t>
      </w:r>
      <w:proofErr w:type="gramEnd"/>
      <w:r w:rsidRPr="00044430">
        <w:rPr>
          <w:rFonts w:ascii="Times New Roman" w:hAnsi="Times New Roman" w:cs="Times New Roman"/>
          <w:sz w:val="28"/>
          <w:szCs w:val="28"/>
        </w:rPr>
        <w:t xml:space="preserve"> из бюджета Омской области.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1.7. Бюджетные ассигнования на реализацию инициативных проектов предусматриваются в бюджете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1.8. Объем бюджетных ассигнований на поддержку одного инициативного проекта из бюджета </w:t>
      </w:r>
      <w:r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без учета межбюджетных  трансфертов из бюджета Омской области не должен превышать </w:t>
      </w:r>
      <w:r w:rsidRPr="00044430">
        <w:rPr>
          <w:rFonts w:ascii="Times New Roman" w:hAnsi="Times New Roman" w:cs="Times New Roman"/>
          <w:color w:val="FF0000"/>
          <w:sz w:val="28"/>
          <w:szCs w:val="28"/>
        </w:rPr>
        <w:t>2 000 000,00</w:t>
      </w:r>
      <w:r w:rsidRPr="0004443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4430" w:rsidRPr="00044430" w:rsidRDefault="00044430" w:rsidP="00044430">
      <w:pPr>
        <w:numPr>
          <w:ilvl w:val="0"/>
          <w:numId w:val="1"/>
        </w:numPr>
        <w:tabs>
          <w:tab w:val="left" w:pos="426"/>
          <w:tab w:val="left" w:pos="851"/>
          <w:tab w:val="left" w:pos="1418"/>
          <w:tab w:val="left" w:pos="311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Выдвижение инициативных проектов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пяти граждан, достигших шестнадцатилетнего возраста и проживающих на территории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- органы территориального общественного самоуправления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предприниматели, осуществляющие свою деятельность на территории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- юридические лица, осуществляющие свою деятельность на территории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- социально ориентированные некоммерческие организации, осуществляющие свою деятельность на территории </w:t>
      </w:r>
      <w:r w:rsidR="00A252C2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- староста сельского населенного пункта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(далее – инициаторы проекта).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430">
        <w:rPr>
          <w:rFonts w:ascii="Times New Roman" w:hAnsi="Times New Roman" w:cs="Times New Roman"/>
          <w:color w:val="000000"/>
          <w:sz w:val="28"/>
          <w:szCs w:val="28"/>
        </w:rPr>
        <w:t>5) 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6) планируемые сроки реализации инициативного проекта;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8) указание на объем средств бюджета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 в случае, если предполагается использование этих средств на </w:t>
      </w:r>
      <w:r w:rsidRPr="00044430">
        <w:rPr>
          <w:rFonts w:ascii="Times New Roman" w:hAnsi="Times New Roman" w:cs="Times New Roman"/>
          <w:sz w:val="28"/>
          <w:szCs w:val="28"/>
        </w:rPr>
        <w:lastRenderedPageBreak/>
        <w:t>реализацию инициативного проекта, за исключением планируемого объема инициативных платежей;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9) фотоматериалы о текущем состоянии объекта, на котором планируется проведение работ в рамках инициативного проекта.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К инициативному проекту по решению инициаторов проекта могут прилагаться графические и (или) табличные материалы.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2.3. 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в соответствии с постановлением Правительства Омской области от 07.04.2021 №133-п «О конкурсном отборе инициативных проектов на территории Омской области», на тот год, в котором планируется инициативный проект реализовать. 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4430" w:rsidRPr="00044430" w:rsidRDefault="00044430" w:rsidP="005051E9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430">
        <w:rPr>
          <w:rFonts w:ascii="Times New Roman" w:hAnsi="Times New Roman" w:cs="Times New Roman"/>
          <w:bCs/>
          <w:sz w:val="28"/>
          <w:szCs w:val="28"/>
        </w:rPr>
        <w:t xml:space="preserve">Определение части территории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bCs/>
          <w:sz w:val="28"/>
          <w:szCs w:val="28"/>
        </w:rPr>
        <w:t>, в интересах населения которой могут реализовываться инициативные проекты</w:t>
      </w:r>
    </w:p>
    <w:p w:rsidR="00044430" w:rsidRPr="00044430" w:rsidRDefault="00044430" w:rsidP="005051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3.1. Инициативные проекты могут реализовываться в интересах населения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в целом, а также в интересах жителей в пределах следующих территорий: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         1) группы многоквартирных домов и (или) жилых домов (в том числе улица, переулок или иной элемент планировочной структуры);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2) границ территории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, на которой осуществляется территориальное общественное самоуправление;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3) населенного пункта, находящегося на территории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;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4) группы населенных пунктов, находящихся на территории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;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5) поселения, входящего в состав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;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6) группы поселений, входящих в состав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.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4430" w:rsidRPr="00044430" w:rsidRDefault="00044430" w:rsidP="005051E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Обсуждение и рассмотрение инициативных проектов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44430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подлежит обсуждению и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граждан. </w:t>
      </w:r>
      <w:proofErr w:type="gramEnd"/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lastRenderedPageBreak/>
        <w:t xml:space="preserve">4.2.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i/>
          <w:sz w:val="28"/>
          <w:szCs w:val="28"/>
        </w:rPr>
        <w:t>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4.3. Инициаторы проекта при внесении инициативного проекта в Администрацию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4.4. Инициаторам проекта (их представителям) обеспечивается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1E9" w:rsidRPr="005051E9" w:rsidRDefault="00044430" w:rsidP="005051E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1E9">
        <w:rPr>
          <w:rFonts w:ascii="Times New Roman" w:hAnsi="Times New Roman" w:cs="Times New Roman"/>
          <w:sz w:val="28"/>
          <w:szCs w:val="28"/>
        </w:rPr>
        <w:t xml:space="preserve">Внесение инициативных проектов в Администрацию </w:t>
      </w:r>
    </w:p>
    <w:p w:rsidR="00044430" w:rsidRDefault="005051E9" w:rsidP="005051E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</w:p>
    <w:p w:rsidR="005051E9" w:rsidRPr="005051E9" w:rsidRDefault="005051E9" w:rsidP="005051E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5.1. Для проведения конкурсного отбора инициативных проектов Администрацией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устанавливаются даты и время приема инициативных проектов.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5.2. Инициаторы проекта при внесении инициативного проекта в Администрацию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 xml:space="preserve">прикладывают к нему документы, подтверждающие поддержку инициативного проекта жителями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0444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 xml:space="preserve">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бюджете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 xml:space="preserve">на соответствующие цели и (или) в соответствии с порядком составления и рассмотрения проекта бюджета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 xml:space="preserve">(внесение изменений  в решение о  бюджете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), а также в</w:t>
      </w:r>
      <w:proofErr w:type="gramEnd"/>
      <w:r w:rsidRPr="00044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43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44430">
        <w:rPr>
          <w:rFonts w:ascii="Times New Roman" w:hAnsi="Times New Roman" w:cs="Times New Roman"/>
          <w:sz w:val="28"/>
          <w:szCs w:val="28"/>
        </w:rPr>
        <w:t xml:space="preserve"> выдвижения для получения финансовой поддержки за счет межбюджетных трансфертов из бюджета Омской области, или решение об отказе в поддержке инициативного проекта и о возврате его инициаторам проекта с указанием причин отказа в соответствии с пунктом 5.4. настоящего Положения. 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5.4. Администрация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- 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Омской области, Уставу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 xml:space="preserve">и нормативным правовым актам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i/>
          <w:sz w:val="28"/>
          <w:szCs w:val="28"/>
        </w:rPr>
        <w:t>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необходимых полномочий и прав;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- отсутствие средств бюджета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- признание инициативного проекта не прошедшим конкурсный отбор инициативных проектов.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50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6. Утверждение инициативных проектов для реализации в соответствии с балльной шкалой оценки инициативных проектов, в том числе в целях их выдвижения для получения финансовой поддержки за счет межбюджетных трансфертов из бюджета Омской области</w:t>
      </w:r>
    </w:p>
    <w:p w:rsidR="00044430" w:rsidRPr="00044430" w:rsidRDefault="00044430" w:rsidP="0050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6.1. Для утверждения результатов конкурсного отбора инициативных проектов граждан, в отношении которых принято решение о поддержке, Администрацией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образуется конкурсная комиссия, которая состоит из восьми человек.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6.2. Рассмотрение инициативных проектов на заседании конкурсной комиссии производится в соответствии с балльной шкалой оценки инициативных проектов (Приложение).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На основе проведенной оценки Конкурсная комиссия формирует ранжированный перечень инициативных проектов в порядке убывания набранных ими суммарных баллов и присваивает им соответствующие порядковые номера (далее - итоговый рейтинг инициативных проектов).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Если несколько инициативных проектов набрали одинаковое количество баллов, то меньший порядковый номер присваивается инициативному проекту, на реализацию которого требуется меньший объем субсидии.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При одинаковом объеме средств, требуемых на реализацию инициативных проектов, меньший порядковый номер присваивается инициативному проекту, предусматривающему привлечение большего объема инициативных платежей.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По результатам голосования членов конкурсной комиссии, утверждается итоговый рейтинг инициативных проектов. 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6.3. Персональный состав конкурсной комиссии утверждается Администрацией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lastRenderedPageBreak/>
        <w:t xml:space="preserve">Половина от общего числа членов конкурсной комиссии должна быть назначена на основе предложений Совета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6.4. Основными задачами конкурсной комиссии является: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- принятие решения по итоговому рейтингу инициативных проектов на основании балльной шкалы оценки инициативных проектов и подготовка муниципального акта об итогах конкурсного отбора инициативных проектов;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- принятие решения </w:t>
      </w:r>
      <w:proofErr w:type="gramStart"/>
      <w:r w:rsidRPr="00044430">
        <w:rPr>
          <w:rFonts w:ascii="Times New Roman" w:hAnsi="Times New Roman" w:cs="Times New Roman"/>
          <w:sz w:val="28"/>
          <w:szCs w:val="28"/>
        </w:rPr>
        <w:t>об отборе инициативных проектов в целях выдвижения для получения финансовой поддержки за счет межбюджетных трансфертов из бюджета</w:t>
      </w:r>
      <w:proofErr w:type="gramEnd"/>
      <w:r w:rsidRPr="00044430">
        <w:rPr>
          <w:rFonts w:ascii="Times New Roman" w:hAnsi="Times New Roman" w:cs="Times New Roman"/>
          <w:sz w:val="28"/>
          <w:szCs w:val="28"/>
        </w:rPr>
        <w:t xml:space="preserve"> Омской области по итогам  конкурсного отбора инициативных проектов и подготовка соответствующего муниципального акта.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6.5. Заседание конкурсной комиссии считается правомочным при условии присутствия на нем не менее двух третей от установленной численности конкурсной комиссии.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6.6. Председатель конкурсной комиссии: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4) председательствует на заседаниях конкурсной комиссии.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6.7. Секретарь конкурсной комиссии: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6.8. Член конкурсной комиссии: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lastRenderedPageBreak/>
        <w:t>2) вносит предложения по вопросам работы конкурсной комиссии;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6.9.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6.10. </w:t>
      </w:r>
      <w:proofErr w:type="gramStart"/>
      <w:r w:rsidRPr="00044430">
        <w:rPr>
          <w:rFonts w:ascii="Times New Roman" w:hAnsi="Times New Roman" w:cs="Times New Roman"/>
          <w:sz w:val="28"/>
          <w:szCs w:val="28"/>
        </w:rPr>
        <w:t xml:space="preserve">Результаты рассмотрения инициативных проектов отражаются в протоколе заседания Конкурсной комиссии, в котором исходя из итогового рейтинга инициативных проектов указывается общий объем средств, необходимый для реализации каждого инициативного проекта, размер финансовой помощи из областного бюджета, собственных средств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, инициативных платежей, планируемых для привлечения на реализацию каждого инициативного проекта, планируемые формы нефинансового участия юридических лиц, индивидуальных предпринимателей в реализации инициативного</w:t>
      </w:r>
      <w:proofErr w:type="gramEnd"/>
      <w:r w:rsidRPr="0004443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Кроме указанных  в абзаце первом настоящего пункта данных, протокол заседания конкурсной комиссии должен содержать следующие данные: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- время, дату и место проведения заседания конкурсной комиссии;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- инициативные проекты, прошедшие конкурсный отбор и подлежащие финансированию из бюджета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- инициативные проекты, прошедшие отбор в целях выдвижения для получения финансовой поддержки за счет межбюджетных трансфертов из бюджета Омской области;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- решение о направление инициативного проекта на конкурсный отбор, проводимый Омской областью, в случае принятия решения о необходимости привлечения  финансовой поддержки за счет межбюджетных трансфертов из бюджета Омской области.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 рабочих дней со дня проведения заседания конкурсной комиссии.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Pr="00044430">
        <w:rPr>
          <w:rFonts w:ascii="Times New Roman" w:hAnsi="Times New Roman" w:cs="Times New Roman"/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баллов при их оценке в соответствии с балльной шкалой и баллов, полученных при голосовании членов конкурсной комиссии, для его (их) последующей реализации в пределах объема бюджетных ассигнований, утвержденных решением о бюджете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(на </w:t>
      </w:r>
      <w:r w:rsidRPr="00044430"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и плановый период), на</w:t>
      </w:r>
      <w:proofErr w:type="gramEnd"/>
      <w:r w:rsidRPr="00044430">
        <w:rPr>
          <w:rFonts w:ascii="Times New Roman" w:hAnsi="Times New Roman" w:cs="Times New Roman"/>
          <w:sz w:val="28"/>
          <w:szCs w:val="28"/>
        </w:rPr>
        <w:t xml:space="preserve"> реализацию инициативных проектов, а также в целях выдвижения для получения финансовой поддержки за счет межбюджетных трансфертов из бюджета Омской области.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6.12. Муниципальный акт об итогах конкурсного отбора инициативных проектов, по каждому инициативному проекту, признанному победителем конкурсного отбора,  должен содержать: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          1) наименование инициативного проекта;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          2)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3) направление расходования средств бюджета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(строительство, реконструкция, приобретение, проведение мероприятия (мероприятий), иное);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4) наименование главного распорядителя средств бюджета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, реализующий инициативный проект;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5) срок реализации инициативного проекта (срок ввода в эксплуатацию (приобретения) объекта, реализации мероприятия (мероприятий);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указанием  объема инициативных платежей;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указанием объема инициативных платежей.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50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7. Участие инициаторов проекта в реализации инициативных проектов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7.1. Инициаторы проекта (их представители) вправе принимать участие в реализации инициативных проектов в соответствии с настоящим Положением.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7.2. Инициаторы проекта (их представители) согласовывают техническое задание на заключение муниципального контракта по реализации инициативного проекта. 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 (их представителями).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7.3. Инициативные платежи физических и юридических лиц  вносятся на счет бюджета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 xml:space="preserve">не позднее 20 рабочих дней со дня опубликования итогов конкурсного отбора в информационно-телекоммуникационной сети «Интернет» на официальном сайте органов местного самоуправления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при условии признания инициативного проекта победителем.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0444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430">
        <w:rPr>
          <w:rFonts w:ascii="Times New Roman" w:hAnsi="Times New Roman" w:cs="Times New Roman"/>
          <w:sz w:val="28"/>
          <w:szCs w:val="28"/>
        </w:rPr>
        <w:t xml:space="preserve"> если реализация инициативного проекта планировалась за счет привлечения межбюджетных трансфертов из бюджета Омской области, инициативные платежи физических и юридических лиц вносятся на счет бюджета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="005051E9" w:rsidRPr="00044430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не позднее 20 рабочих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 и получения информации о финансовой поддержке за счет межбюджетных трансфертов из бюджета Омской области.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Внесение инициативных платежей физических и юридических лиц  в указанные сроки обеспечивает инициатор проекта. В случае</w:t>
      </w:r>
      <w:proofErr w:type="gramStart"/>
      <w:r w:rsidRPr="000444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430">
        <w:rPr>
          <w:rFonts w:ascii="Times New Roman" w:hAnsi="Times New Roman" w:cs="Times New Roman"/>
          <w:sz w:val="28"/>
          <w:szCs w:val="28"/>
        </w:rPr>
        <w:t xml:space="preserve"> если инициативные платежи физических и юридических лиц  не поступили в указанные сроки, инициативный проект снимается с реализации и может быть повторно направлен в Администрацию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при объявлении следующего конкурсного отбора инициативных проектов.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бюджет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физическим лицам и юридическим лицам, осуществившим их перечисление в бюджет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Совета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7.6. Отчет о ходе и итогах реализации инициативного проекта подлежит размещению на официальном сайте </w:t>
      </w:r>
      <w:r w:rsidR="005051E9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 xml:space="preserve"> в</w:t>
      </w:r>
      <w:r w:rsidRPr="000444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1E9" w:rsidRDefault="005051E9" w:rsidP="0050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505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51E9" w:rsidRDefault="00044430" w:rsidP="00505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к Положению о порядке выдвижения, </w:t>
      </w:r>
    </w:p>
    <w:p w:rsidR="005051E9" w:rsidRDefault="00044430" w:rsidP="00505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внесения,</w:t>
      </w:r>
      <w:r w:rsidR="005051E9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обсуждения, рассмотрения</w:t>
      </w:r>
    </w:p>
    <w:p w:rsidR="005051E9" w:rsidRDefault="00044430" w:rsidP="00505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="005051E9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>проектов,</w:t>
      </w:r>
      <w:r w:rsidR="005051E9">
        <w:rPr>
          <w:rFonts w:ascii="Times New Roman" w:hAnsi="Times New Roman" w:cs="Times New Roman"/>
          <w:sz w:val="28"/>
          <w:szCs w:val="28"/>
        </w:rPr>
        <w:t xml:space="preserve"> </w:t>
      </w:r>
      <w:r w:rsidRPr="00044430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044430" w:rsidRPr="00044430" w:rsidRDefault="00044430" w:rsidP="00505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проведения их конкурсного отбора</w:t>
      </w:r>
    </w:p>
    <w:p w:rsidR="00044430" w:rsidRPr="00044430" w:rsidRDefault="00044430" w:rsidP="00505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5051E9" w:rsidP="00A252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044430" w:rsidRPr="00044430" w:rsidRDefault="00A252C2" w:rsidP="00A252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="00044430" w:rsidRPr="0004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инициативных</w:t>
      </w:r>
      <w:r w:rsidR="00044430" w:rsidRPr="0004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Оценка инициативных проектов определяется по следующим критериям: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3402"/>
        <w:gridCol w:w="4111"/>
      </w:tblGrid>
      <w:tr w:rsidR="00A252C2" w:rsidRPr="00044430" w:rsidTr="00A252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A252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№</w:t>
            </w:r>
            <w:r w:rsidRPr="00A252C2">
              <w:rPr>
                <w:rFonts w:ascii="Times New Roman" w:hAnsi="Times New Roman" w:cs="Times New Roman"/>
              </w:rPr>
              <w:br/>
            </w:r>
            <w:proofErr w:type="gramStart"/>
            <w:r w:rsidRPr="00A252C2">
              <w:rPr>
                <w:rFonts w:ascii="Times New Roman" w:hAnsi="Times New Roman" w:cs="Times New Roman"/>
              </w:rPr>
              <w:t>п</w:t>
            </w:r>
            <w:proofErr w:type="gramEnd"/>
            <w:r w:rsidRPr="00A252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A252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Наименование критерия отбора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A252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Наименование показателя оценки критерия отбора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0" w:rsidRPr="00A252C2" w:rsidRDefault="00044430" w:rsidP="00A252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Количественный показатель оценки критерия отбора</w:t>
            </w:r>
          </w:p>
        </w:tc>
      </w:tr>
      <w:tr w:rsidR="00044430" w:rsidRPr="00044430" w:rsidTr="00A252C2">
        <w:trPr>
          <w:trHeight w:val="338"/>
        </w:trPr>
        <w:tc>
          <w:tcPr>
            <w:tcW w:w="109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                         Социальная эффективность реализации инициативного проекта</w:t>
            </w:r>
          </w:p>
        </w:tc>
      </w:tr>
      <w:tr w:rsidR="00A252C2" w:rsidRPr="00044430" w:rsidTr="00A252C2">
        <w:trPr>
          <w:trHeight w:val="255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1</w:t>
            </w:r>
          </w:p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Актуальность, социальная значимость, экономическая эффективность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Доля населения, принявшая участие в выдвижении инициативного проекта, в общей численности населения населенного пункта или части его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0" w:rsidRPr="00A252C2" w:rsidRDefault="00044430" w:rsidP="00A252C2">
            <w:pPr>
              <w:pStyle w:val="a5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Более 30 процентов - 100 баллов;</w:t>
            </w:r>
          </w:p>
          <w:p w:rsidR="00044430" w:rsidRPr="00A252C2" w:rsidRDefault="00044430" w:rsidP="00A252C2">
            <w:pPr>
              <w:pStyle w:val="a5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20 до 30 процентов включительно - 70 баллов;</w:t>
            </w:r>
          </w:p>
          <w:p w:rsidR="00044430" w:rsidRPr="00A252C2" w:rsidRDefault="00044430" w:rsidP="00A252C2">
            <w:pPr>
              <w:pStyle w:val="a5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10 до 20 процентов - 50 баллов;</w:t>
            </w:r>
          </w:p>
          <w:p w:rsidR="00044430" w:rsidRPr="00A252C2" w:rsidRDefault="00044430" w:rsidP="00A252C2">
            <w:pPr>
              <w:pStyle w:val="a5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5 до 10 процентов - 30 баллов;</w:t>
            </w:r>
          </w:p>
          <w:p w:rsidR="00044430" w:rsidRPr="00A252C2" w:rsidRDefault="00044430" w:rsidP="00A252C2">
            <w:pPr>
              <w:pStyle w:val="a5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до 5 процентов - 10 баллов</w:t>
            </w:r>
          </w:p>
        </w:tc>
      </w:tr>
      <w:tr w:rsidR="00A252C2" w:rsidRPr="00044430" w:rsidTr="00A252C2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A252C2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A252C2">
              <w:rPr>
                <w:rFonts w:ascii="Times New Roman" w:hAnsi="Times New Roman" w:cs="Times New Roman"/>
              </w:rPr>
              <w:t xml:space="preserve"> (человек) в общей численности населения населенного пункта или его части,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80 до 100 процентов - 50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50 до 80 процентов - 30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20 до 50 процентов - 20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до 20 процентов - 10 баллов</w:t>
            </w:r>
          </w:p>
        </w:tc>
      </w:tr>
      <w:tr w:rsidR="00A252C2" w:rsidRPr="00044430" w:rsidTr="00A252C2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Наличие механизма содержания и эксплуатации </w:t>
            </w:r>
            <w:proofErr w:type="gramStart"/>
            <w:r w:rsidRPr="00A252C2">
              <w:rPr>
                <w:rFonts w:ascii="Times New Roman" w:hAnsi="Times New Roman" w:cs="Times New Roman"/>
              </w:rPr>
              <w:t>объекта общественной инфраструктуры результата реализации инициативного проекта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Наличие - 100 баллов; отсутствие - 0 баллов</w:t>
            </w:r>
          </w:p>
        </w:tc>
      </w:tr>
      <w:tr w:rsidR="00A252C2" w:rsidRPr="00044430" w:rsidTr="00A252C2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Участие в подготовке и обсуждении инициативных проектов людей с ограниченными возможностями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252C2">
              <w:rPr>
                <w:rFonts w:ascii="Times New Roman" w:hAnsi="Times New Roman" w:cs="Times New Roman"/>
              </w:rPr>
              <w:t>,</w:t>
            </w:r>
            <w:proofErr w:type="gramEnd"/>
            <w:r w:rsidRPr="00A252C2">
              <w:rPr>
                <w:rFonts w:ascii="Times New Roman" w:hAnsi="Times New Roman" w:cs="Times New Roman"/>
              </w:rPr>
              <w:t xml:space="preserve">  если участие людей с ограниченными возможностями документально подтверждено  - 30 баллов;</w:t>
            </w:r>
          </w:p>
          <w:p w:rsidR="00044430" w:rsidRPr="00A252C2" w:rsidRDefault="00044430" w:rsidP="00044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</w:tr>
      <w:tr w:rsidR="00A252C2" w:rsidRPr="00044430" w:rsidTr="00A252C2">
        <w:trPr>
          <w:trHeight w:val="18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Направленность и доступность инициативного проекта для людей с ограниченными возможностями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0" w:rsidRPr="00A252C2" w:rsidRDefault="00044430" w:rsidP="00044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A252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52C2">
              <w:rPr>
                <w:rFonts w:ascii="Times New Roman" w:hAnsi="Times New Roman" w:cs="Times New Roman"/>
                <w:sz w:val="24"/>
                <w:szCs w:val="24"/>
              </w:rPr>
              <w:t xml:space="preserve"> если инициативный проект направлен на решение проблем людей с ограниченными возможностями или доступен для них - 30 баллов</w:t>
            </w:r>
          </w:p>
        </w:tc>
      </w:tr>
      <w:tr w:rsidR="00A252C2" w:rsidRPr="00044430" w:rsidTr="00A252C2">
        <w:trPr>
          <w:trHeight w:val="118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Срок реализации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0" w:rsidRPr="00A252C2" w:rsidRDefault="00044430" w:rsidP="00044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sz w:val="24"/>
                <w:szCs w:val="24"/>
              </w:rPr>
              <w:t>До одного календарного года – 30 баллов;</w:t>
            </w:r>
          </w:p>
          <w:p w:rsidR="00044430" w:rsidRPr="00A252C2" w:rsidRDefault="00044430" w:rsidP="00044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sz w:val="24"/>
                <w:szCs w:val="24"/>
              </w:rPr>
              <w:t>до двух календарных лет – 20 баллов;</w:t>
            </w:r>
          </w:p>
          <w:p w:rsidR="00044430" w:rsidRPr="00A252C2" w:rsidRDefault="00044430" w:rsidP="00044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sz w:val="24"/>
                <w:szCs w:val="24"/>
              </w:rPr>
              <w:t>до 3 календарных лет – 10 баллов</w:t>
            </w:r>
          </w:p>
        </w:tc>
      </w:tr>
      <w:tr w:rsidR="00044430" w:rsidRPr="00044430" w:rsidTr="00A252C2">
        <w:trPr>
          <w:trHeight w:val="276"/>
        </w:trPr>
        <w:tc>
          <w:tcPr>
            <w:tcW w:w="109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                                         Экономическая эффективность реализации инициативного проекта</w:t>
            </w:r>
          </w:p>
        </w:tc>
      </w:tr>
      <w:tr w:rsidR="00A252C2" w:rsidRPr="00044430" w:rsidTr="00A252C2">
        <w:trPr>
          <w:trHeight w:val="1928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Уровень софинансирования со стороны физических лиц и (или) юридических лиц, вносимых в целях софинансирования реализации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 xml:space="preserve">Отношение объема инициативных платежей физических лиц в </w:t>
            </w:r>
            <w:proofErr w:type="spellStart"/>
            <w:r w:rsidRPr="00A252C2">
              <w:rPr>
                <w:rFonts w:ascii="Times New Roman" w:hAnsi="Times New Roman" w:cs="Times New Roman"/>
              </w:rPr>
              <w:t>софинансировании</w:t>
            </w:r>
            <w:proofErr w:type="spellEnd"/>
            <w:r w:rsidRPr="00A252C2">
              <w:rPr>
                <w:rFonts w:ascii="Times New Roman" w:hAnsi="Times New Roman" w:cs="Times New Roman"/>
              </w:rPr>
              <w:t xml:space="preserve"> инициативного проекта к общей стоимости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Более 5 процентов - 100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3 до 5 процентов включительно - 80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1 до 3 процентов - 60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до 1 процента - 40 баллов</w:t>
            </w:r>
          </w:p>
        </w:tc>
      </w:tr>
      <w:tr w:rsidR="00A252C2" w:rsidRPr="00044430" w:rsidTr="00A252C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Отношение объема инициативных платежей индивидуальных предпринимателей и юридических лиц, направляемых на реализацию проекта, к общей стоимости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Более 10 процентов - 100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5 до 10 процентов включительно - 70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2 до 5 процентов - 50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1 до 2 процентов - 40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до 1 процента - 30 баллов</w:t>
            </w:r>
          </w:p>
        </w:tc>
      </w:tr>
      <w:tr w:rsidR="00A252C2" w:rsidRPr="00044430" w:rsidTr="00A252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Степень участия физических лиц и (или) юридических лиц в нефинансовой форме в реализации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Количество граждан, юридических лиц изъявивших желание принять нефинансовое участие в реализации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Более 30 человек/юридических лиц - 100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20 до 30 человек/юридических лиц включительно - 70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10 до 20 человек/юридических лиц - 50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5 до 10 человек/юридических лиц - 20 баллов;</w:t>
            </w:r>
          </w:p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от 1 до 5 человек/юридических лиц - 10 баллов</w:t>
            </w:r>
          </w:p>
        </w:tc>
      </w:tr>
      <w:tr w:rsidR="00A252C2" w:rsidRPr="00044430" w:rsidTr="00A252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4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  <w:bCs/>
                <w:color w:val="000000"/>
              </w:rPr>
              <w:t>Качество подготовки документов для участия в конкурсном отборе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252C2">
              <w:rPr>
                <w:rFonts w:ascii="Times New Roman" w:hAnsi="Times New Roman" w:cs="Times New Roman"/>
                <w:bCs/>
                <w:color w:val="000000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30" w:rsidRPr="00A252C2" w:rsidRDefault="00044430" w:rsidP="0004443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52C2">
              <w:rPr>
                <w:rFonts w:ascii="Times New Roman" w:hAnsi="Times New Roman" w:cs="Times New Roman"/>
              </w:rPr>
              <w:t>Проектно-сметная (сметная) документация</w:t>
            </w:r>
            <w:r w:rsidRPr="00A252C2">
              <w:rPr>
                <w:rFonts w:ascii="Times New Roman" w:hAnsi="Times New Roman" w:cs="Times New Roman"/>
                <w:color w:val="000000"/>
              </w:rPr>
              <w:t xml:space="preserve"> приложена или необходимость в проектно-сметной (</w:t>
            </w:r>
            <w:proofErr w:type="gramStart"/>
            <w:r w:rsidRPr="00A252C2">
              <w:rPr>
                <w:rFonts w:ascii="Times New Roman" w:hAnsi="Times New Roman" w:cs="Times New Roman"/>
                <w:color w:val="000000"/>
              </w:rPr>
              <w:t xml:space="preserve">сметной) </w:t>
            </w:r>
            <w:proofErr w:type="gramEnd"/>
            <w:r w:rsidRPr="00A252C2">
              <w:rPr>
                <w:rFonts w:ascii="Times New Roman" w:hAnsi="Times New Roman" w:cs="Times New Roman"/>
                <w:color w:val="000000"/>
              </w:rPr>
              <w:t>документации отсутствует – 30 баллов;</w:t>
            </w:r>
          </w:p>
          <w:p w:rsidR="00044430" w:rsidRPr="00A252C2" w:rsidRDefault="00044430" w:rsidP="00044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sz w:val="24"/>
                <w:szCs w:val="24"/>
              </w:rPr>
              <w:t>отсутствие - 0 баллов</w:t>
            </w:r>
          </w:p>
        </w:tc>
      </w:tr>
    </w:tbl>
    <w:p w:rsidR="00A252C2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A252C2" w:rsidRDefault="00A252C2" w:rsidP="00044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2C2" w:rsidRDefault="00A252C2" w:rsidP="00044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2C2" w:rsidRDefault="00A252C2" w:rsidP="00044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2C2" w:rsidRDefault="00A252C2" w:rsidP="00044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2C2" w:rsidRDefault="00A252C2" w:rsidP="00044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2C2" w:rsidRDefault="00A252C2" w:rsidP="00044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430" w:rsidRPr="00A252C2" w:rsidRDefault="00044430" w:rsidP="00A2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44430" w:rsidRPr="00044430" w:rsidRDefault="00044430" w:rsidP="00A2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к проекту решения Совета </w:t>
      </w:r>
      <w:r w:rsidR="00A252C2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</w:p>
    <w:p w:rsidR="00044430" w:rsidRPr="00044430" w:rsidRDefault="00044430" w:rsidP="00A252C2">
      <w:pPr>
        <w:pStyle w:val="Default"/>
        <w:jc w:val="center"/>
        <w:rPr>
          <w:sz w:val="28"/>
          <w:szCs w:val="28"/>
        </w:rPr>
      </w:pPr>
      <w:r w:rsidRPr="00044430">
        <w:rPr>
          <w:sz w:val="28"/>
          <w:szCs w:val="28"/>
        </w:rPr>
        <w:t xml:space="preserve">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A252C2">
        <w:rPr>
          <w:sz w:val="28"/>
          <w:szCs w:val="28"/>
        </w:rPr>
        <w:t>Астыровского сельского поселения</w:t>
      </w:r>
      <w:r w:rsidRPr="00044430">
        <w:rPr>
          <w:sz w:val="28"/>
          <w:szCs w:val="28"/>
        </w:rPr>
        <w:t>»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A252C2">
        <w:rPr>
          <w:rFonts w:ascii="Times New Roman" w:hAnsi="Times New Roman" w:cs="Times New Roman"/>
          <w:sz w:val="28"/>
          <w:szCs w:val="28"/>
        </w:rPr>
        <w:t xml:space="preserve">           «____» _________ 2022</w:t>
      </w:r>
      <w:r w:rsidRPr="000444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30" w:rsidRPr="00044430" w:rsidRDefault="00044430" w:rsidP="00044430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430" w:rsidRPr="00044430" w:rsidRDefault="00044430" w:rsidP="00044430">
      <w:pPr>
        <w:pStyle w:val="Default"/>
        <w:jc w:val="both"/>
        <w:rPr>
          <w:sz w:val="28"/>
          <w:szCs w:val="28"/>
        </w:rPr>
      </w:pPr>
      <w:r w:rsidRPr="00044430">
        <w:rPr>
          <w:sz w:val="28"/>
          <w:szCs w:val="28"/>
        </w:rPr>
        <w:t xml:space="preserve">       </w:t>
      </w:r>
    </w:p>
    <w:p w:rsidR="00044430" w:rsidRPr="00044430" w:rsidRDefault="00044430" w:rsidP="00044430">
      <w:pPr>
        <w:pStyle w:val="Default"/>
        <w:tabs>
          <w:tab w:val="left" w:pos="709"/>
        </w:tabs>
        <w:jc w:val="both"/>
        <w:rPr>
          <w:i/>
          <w:iCs/>
          <w:sz w:val="28"/>
          <w:szCs w:val="28"/>
        </w:rPr>
      </w:pPr>
      <w:r w:rsidRPr="00044430">
        <w:rPr>
          <w:sz w:val="28"/>
          <w:szCs w:val="28"/>
        </w:rPr>
        <w:t xml:space="preserve">          </w:t>
      </w:r>
      <w:proofErr w:type="gramStart"/>
      <w:r w:rsidRPr="00044430">
        <w:rPr>
          <w:sz w:val="28"/>
          <w:szCs w:val="28"/>
        </w:rPr>
        <w:t xml:space="preserve">Положение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A252C2">
        <w:rPr>
          <w:sz w:val="28"/>
          <w:szCs w:val="28"/>
        </w:rPr>
        <w:t>Астыровского сельского поселения</w:t>
      </w:r>
      <w:r w:rsidR="00A252C2" w:rsidRPr="00044430">
        <w:rPr>
          <w:sz w:val="28"/>
          <w:szCs w:val="28"/>
        </w:rPr>
        <w:t xml:space="preserve"> </w:t>
      </w:r>
      <w:r w:rsidRPr="00044430">
        <w:rPr>
          <w:sz w:val="28"/>
          <w:szCs w:val="28"/>
        </w:rPr>
        <w:t>разработано в соответствии со статьей 26.1 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 с</w:t>
      </w:r>
      <w:proofErr w:type="gramEnd"/>
      <w:r w:rsidRPr="00044430">
        <w:rPr>
          <w:sz w:val="28"/>
          <w:szCs w:val="28"/>
        </w:rPr>
        <w:t xml:space="preserve"> учетом  Методических рекомендации по подготовке и реализации практик </w:t>
      </w:r>
      <w:proofErr w:type="gramStart"/>
      <w:r w:rsidRPr="00044430">
        <w:rPr>
          <w:sz w:val="28"/>
          <w:szCs w:val="28"/>
        </w:rPr>
        <w:t>инициативного</w:t>
      </w:r>
      <w:proofErr w:type="gramEnd"/>
      <w:r w:rsidRPr="00044430">
        <w:rPr>
          <w:sz w:val="28"/>
          <w:szCs w:val="28"/>
        </w:rPr>
        <w:t xml:space="preserve"> бюджетирования в Российской Федерации, подготовленных Минфином России.</w:t>
      </w:r>
      <w:r w:rsidRPr="00044430">
        <w:rPr>
          <w:i/>
          <w:iCs/>
          <w:sz w:val="28"/>
          <w:szCs w:val="28"/>
        </w:rPr>
        <w:t xml:space="preserve"> </w:t>
      </w: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Положение предусматривает: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- порядок выдвижения инициативных проектов;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     - порядок обсуждения и рассмотрения инициативных проектов  до внесения их в Администрацию </w:t>
      </w:r>
      <w:r w:rsidR="00A252C2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;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- порядок внесение инициативных проектов в Администрацию </w:t>
      </w:r>
      <w:r w:rsidR="00A252C2">
        <w:rPr>
          <w:rFonts w:ascii="Times New Roman" w:hAnsi="Times New Roman" w:cs="Times New Roman"/>
          <w:sz w:val="28"/>
          <w:szCs w:val="28"/>
        </w:rPr>
        <w:t>Астыровского сельского поселения</w:t>
      </w:r>
      <w:r w:rsidRPr="00044430">
        <w:rPr>
          <w:rFonts w:ascii="Times New Roman" w:hAnsi="Times New Roman" w:cs="Times New Roman"/>
          <w:sz w:val="28"/>
          <w:szCs w:val="28"/>
        </w:rPr>
        <w:t>;</w:t>
      </w:r>
    </w:p>
    <w:p w:rsidR="00044430" w:rsidRPr="00044430" w:rsidRDefault="00044430" w:rsidP="0004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>- порядок утверждения инициативных проектов для реализации в соответствии с балльной шкалой оценки инициативных проектов, в том числе в целях их выдвижения для получения финансовой поддержки за счет межбюджетных трансфертов из бюджета Омской области;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30">
        <w:rPr>
          <w:rFonts w:ascii="Times New Roman" w:hAnsi="Times New Roman" w:cs="Times New Roman"/>
          <w:sz w:val="28"/>
          <w:szCs w:val="28"/>
        </w:rPr>
        <w:t xml:space="preserve">         - закрепляет процедуру участия инициаторов проекта в реализации инициативных проектов и бальную шкалу оценки инициативных проектов.</w:t>
      </w: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044430" w:rsidRDefault="00044430" w:rsidP="000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30" w:rsidRPr="0020243A" w:rsidRDefault="00044430" w:rsidP="00044430">
      <w:pPr>
        <w:ind w:firstLine="709"/>
        <w:jc w:val="both"/>
        <w:rPr>
          <w:sz w:val="28"/>
          <w:szCs w:val="28"/>
        </w:rPr>
      </w:pPr>
    </w:p>
    <w:p w:rsidR="005B4F9A" w:rsidRPr="00044430" w:rsidRDefault="005B4F9A" w:rsidP="00044430">
      <w:pPr>
        <w:spacing w:after="0" w:line="240" w:lineRule="auto"/>
        <w:rPr>
          <w:rFonts w:ascii="Times New Roman" w:hAnsi="Times New Roman" w:cs="Times New Roman"/>
        </w:rPr>
      </w:pPr>
    </w:p>
    <w:sectPr w:rsidR="005B4F9A" w:rsidRPr="00044430" w:rsidSect="00A252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2515"/>
    <w:multiLevelType w:val="hybridMultilevel"/>
    <w:tmpl w:val="94E8FF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430"/>
    <w:rsid w:val="00044430"/>
    <w:rsid w:val="00145AFA"/>
    <w:rsid w:val="003904FD"/>
    <w:rsid w:val="005051E9"/>
    <w:rsid w:val="005B4F9A"/>
    <w:rsid w:val="00A252C2"/>
    <w:rsid w:val="00BE6740"/>
    <w:rsid w:val="00C4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4430"/>
    <w:rPr>
      <w:rFonts w:cs="Times New Roman"/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0444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44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0444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0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mil.omsk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7</cp:revision>
  <cp:lastPrinted>2024-09-17T12:15:00Z</cp:lastPrinted>
  <dcterms:created xsi:type="dcterms:W3CDTF">2022-06-20T15:41:00Z</dcterms:created>
  <dcterms:modified xsi:type="dcterms:W3CDTF">2024-10-03T17:15:00Z</dcterms:modified>
</cp:coreProperties>
</file>